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4D" w:rsidRPr="00194558" w:rsidRDefault="00B9764D">
      <w:pPr>
        <w:rPr>
          <w:b/>
          <w:sz w:val="28"/>
          <w:szCs w:val="28"/>
        </w:rPr>
      </w:pPr>
      <w:r w:rsidRPr="00194558">
        <w:rPr>
          <w:b/>
          <w:sz w:val="28"/>
          <w:szCs w:val="28"/>
        </w:rPr>
        <w:t>Some steps towards working with LGBTQI communities – or any</w:t>
      </w:r>
    </w:p>
    <w:p w:rsidR="00B9764D" w:rsidRDefault="00B9764D"/>
    <w:p w:rsidR="00B9764D" w:rsidRDefault="00B9764D">
      <w:r>
        <w:t>This is an edited version of part of the talk given by John Vincent at MOSI on 19 May 2014.</w:t>
      </w:r>
    </w:p>
    <w:p w:rsidR="00B9764D" w:rsidRDefault="00B9764D"/>
    <w:p w:rsidR="00B9764D" w:rsidRDefault="00B9764D" w:rsidP="00E7754F">
      <w:pPr>
        <w:rPr>
          <w:b/>
        </w:rPr>
      </w:pPr>
      <w:r>
        <w:rPr>
          <w:b/>
        </w:rPr>
        <w:t xml:space="preserve">Preparation </w:t>
      </w:r>
    </w:p>
    <w:p w:rsidR="00B9764D" w:rsidRPr="00E7754F" w:rsidRDefault="00B9764D" w:rsidP="00E7754F"/>
    <w:p w:rsidR="00B9764D" w:rsidRPr="00E7754F" w:rsidRDefault="00B9764D" w:rsidP="00C501A0">
      <w:pPr>
        <w:numPr>
          <w:ilvl w:val="0"/>
          <w:numId w:val="13"/>
        </w:numPr>
      </w:pPr>
      <w:r>
        <w:t xml:space="preserve">What do we need to know? </w:t>
      </w:r>
      <w:r w:rsidRPr="00E7754F">
        <w:t>Develop your (and your colleagues’) awareness of the national context</w:t>
      </w:r>
    </w:p>
    <w:p w:rsidR="00B9764D" w:rsidRDefault="00B9764D" w:rsidP="00E7754F">
      <w:pPr>
        <w:numPr>
          <w:ilvl w:val="0"/>
          <w:numId w:val="13"/>
        </w:numPr>
      </w:pPr>
      <w:r>
        <w:t>What’s happening in our area/region?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>Ensuring your values are transparent</w:t>
      </w:r>
    </w:p>
    <w:p w:rsidR="00B9764D" w:rsidRPr="00E7754F" w:rsidRDefault="00B9764D" w:rsidP="00E7754F"/>
    <w:p w:rsidR="00B9764D" w:rsidRPr="00E7754F" w:rsidRDefault="00B9764D" w:rsidP="00E7754F">
      <w:r w:rsidRPr="00E7754F">
        <w:t>For example: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14"/>
        </w:numPr>
      </w:pPr>
      <w:r w:rsidRPr="00E7754F">
        <w:t>Integrity, honesty, transparency: make it clear why you want to build the relationship with local LGBT</w:t>
      </w:r>
      <w:r>
        <w:t>QI</w:t>
      </w:r>
      <w:r w:rsidRPr="00E7754F">
        <w:t xml:space="preserve"> people </w:t>
      </w:r>
    </w:p>
    <w:p w:rsidR="00B9764D" w:rsidRPr="00E7754F" w:rsidRDefault="00B9764D" w:rsidP="00E7754F"/>
    <w:p w:rsidR="00B9764D" w:rsidRDefault="00B9764D" w:rsidP="00821218">
      <w:pPr>
        <w:numPr>
          <w:ilvl w:val="0"/>
          <w:numId w:val="14"/>
        </w:numPr>
      </w:pPr>
      <w:r w:rsidRPr="00E7754F">
        <w:t>Being open and responsive, both to the local co</w:t>
      </w:r>
      <w:r>
        <w:t>mmunity and to your colleagues.</w:t>
      </w:r>
    </w:p>
    <w:p w:rsidR="00B9764D" w:rsidRPr="00E7754F" w:rsidRDefault="00B9764D" w:rsidP="00F02B36"/>
    <w:p w:rsidR="00B9764D" w:rsidRPr="00E7754F" w:rsidRDefault="00B9764D" w:rsidP="00E7754F">
      <w:pPr>
        <w:rPr>
          <w:b/>
        </w:rPr>
      </w:pPr>
      <w:r w:rsidRPr="00E7754F">
        <w:rPr>
          <w:b/>
        </w:rPr>
        <w:t>Getting to know our communities</w:t>
      </w:r>
    </w:p>
    <w:p w:rsidR="00B9764D" w:rsidRPr="00E7754F" w:rsidRDefault="00B9764D" w:rsidP="00E7754F"/>
    <w:p w:rsidR="00B9764D" w:rsidRDefault="00B9764D" w:rsidP="005D5D0B">
      <w:pPr>
        <w:pStyle w:val="ListParagraph"/>
        <w:numPr>
          <w:ilvl w:val="0"/>
          <w:numId w:val="2"/>
        </w:numPr>
      </w:pPr>
      <w:r>
        <w:t xml:space="preserve">Finding </w:t>
      </w:r>
      <w:r w:rsidRPr="00E7754F">
        <w:t>out about LGBT</w:t>
      </w:r>
      <w:r>
        <w:t>QI</w:t>
      </w:r>
      <w:r w:rsidRPr="00E7754F">
        <w:t xml:space="preserve"> people in our area</w:t>
      </w:r>
      <w:r>
        <w:t xml:space="preserve"> – make </w:t>
      </w:r>
      <w:r w:rsidRPr="00E7754F">
        <w:t>contact with and visit local LGBT</w:t>
      </w:r>
      <w:r>
        <w:t>QI</w:t>
      </w:r>
      <w:r w:rsidRPr="00E7754F">
        <w:t xml:space="preserve"> community groups, meeting-places, pubs/bars/clubs: use magazine listings, internet searches to find groups and venues in your area</w:t>
      </w:r>
    </w:p>
    <w:p w:rsidR="00B9764D" w:rsidRPr="00E7754F" w:rsidRDefault="00B9764D" w:rsidP="00065F52">
      <w:pPr>
        <w:pStyle w:val="ListParagraph"/>
      </w:pPr>
    </w:p>
    <w:p w:rsidR="00B9764D" w:rsidRPr="00E7754F" w:rsidRDefault="00B9764D" w:rsidP="00065F52">
      <w:pPr>
        <w:pStyle w:val="ListParagraph"/>
        <w:numPr>
          <w:ilvl w:val="0"/>
          <w:numId w:val="2"/>
        </w:numPr>
      </w:pPr>
      <w:r>
        <w:t>Having mapped the people we make contact with, who’s missing?</w:t>
      </w:r>
    </w:p>
    <w:p w:rsidR="00B9764D" w:rsidRPr="00E7754F" w:rsidRDefault="00B9764D" w:rsidP="00E7754F"/>
    <w:p w:rsidR="00B9764D" w:rsidRPr="00E7754F" w:rsidRDefault="00B9764D" w:rsidP="00E7754F">
      <w:pPr>
        <w:rPr>
          <w:b/>
        </w:rPr>
      </w:pPr>
      <w:r w:rsidRPr="00E7754F">
        <w:rPr>
          <w:b/>
        </w:rPr>
        <w:t>Consulting</w:t>
      </w:r>
    </w:p>
    <w:p w:rsidR="00B9764D" w:rsidRPr="00E7754F" w:rsidRDefault="00B9764D" w:rsidP="00E7754F"/>
    <w:p w:rsidR="00B9764D" w:rsidRPr="00E7754F" w:rsidRDefault="00B9764D" w:rsidP="00E7754F">
      <w:r w:rsidRPr="00E7754F">
        <w:t xml:space="preserve">Having got a broad idea of who might be in our area, how can we find out what their demands and needs are? Common methods </w:t>
      </w:r>
      <w:r>
        <w:t>include</w:t>
      </w:r>
      <w:r w:rsidRPr="00E7754F">
        <w:t>: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1"/>
        </w:numPr>
      </w:pPr>
      <w:r w:rsidRPr="00E7754F">
        <w:t>Meetings</w:t>
      </w:r>
    </w:p>
    <w:p w:rsidR="00B9764D" w:rsidRPr="00E7754F" w:rsidRDefault="00B9764D" w:rsidP="00E7754F">
      <w:pPr>
        <w:numPr>
          <w:ilvl w:val="0"/>
          <w:numId w:val="1"/>
        </w:numPr>
      </w:pPr>
      <w:r w:rsidRPr="00E7754F">
        <w:t>Visits</w:t>
      </w:r>
    </w:p>
    <w:p w:rsidR="00B9764D" w:rsidRPr="00E7754F" w:rsidRDefault="00B9764D" w:rsidP="00E7754F">
      <w:pPr>
        <w:numPr>
          <w:ilvl w:val="0"/>
          <w:numId w:val="1"/>
        </w:numPr>
      </w:pPr>
      <w:r w:rsidRPr="00E7754F">
        <w:t>Focus groups</w:t>
      </w:r>
    </w:p>
    <w:p w:rsidR="00B9764D" w:rsidRPr="00E7754F" w:rsidRDefault="00B9764D" w:rsidP="00E7754F">
      <w:pPr>
        <w:numPr>
          <w:ilvl w:val="0"/>
          <w:numId w:val="1"/>
        </w:numPr>
      </w:pPr>
      <w:r w:rsidRPr="00E7754F">
        <w:t>Reaching out to non-users (eg via outreach, the internet, and social media)</w:t>
      </w:r>
      <w:r>
        <w:t>.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 xml:space="preserve">Engaging – where to start? </w:t>
      </w:r>
    </w:p>
    <w:p w:rsidR="00B9764D" w:rsidRPr="00E7754F" w:rsidRDefault="00B9764D" w:rsidP="00E7754F"/>
    <w:p w:rsidR="00B9764D" w:rsidRPr="00E7754F" w:rsidRDefault="00B9764D" w:rsidP="00E7754F">
      <w:r w:rsidRPr="00E7754F">
        <w:t>From your consultations, you should be getting a picture of local needs. Where do you start in terms of actually doing something?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3"/>
        </w:numPr>
      </w:pPr>
      <w:r w:rsidRPr="00E7754F">
        <w:t>Assess what your service can contribute on existing resources</w:t>
      </w:r>
    </w:p>
    <w:p w:rsidR="00B9764D" w:rsidRPr="00E7754F" w:rsidRDefault="00B9764D" w:rsidP="00E7754F"/>
    <w:p w:rsidR="00B9764D" w:rsidRDefault="00B9764D" w:rsidP="003E5678">
      <w:pPr>
        <w:numPr>
          <w:ilvl w:val="0"/>
          <w:numId w:val="3"/>
        </w:numPr>
      </w:pPr>
      <w:r w:rsidRPr="00E7754F">
        <w:t>Maybe start with an event that you can focus on/organise around, eg LGBT History Month, local LGBT Pride activities, specific temporary exhibitions/events that will raise your profile</w:t>
      </w:r>
      <w:r>
        <w:t xml:space="preserve">. </w:t>
      </w:r>
    </w:p>
    <w:p w:rsidR="00B9764D" w:rsidRDefault="00B9764D" w:rsidP="00E7754F"/>
    <w:p w:rsidR="00B9764D" w:rsidRDefault="00B9764D" w:rsidP="00E7754F"/>
    <w:p w:rsidR="00B9764D" w:rsidRPr="00E7754F" w:rsidRDefault="00B9764D" w:rsidP="00E7754F"/>
    <w:p w:rsidR="00B9764D" w:rsidRPr="00E7754F" w:rsidRDefault="00B9764D" w:rsidP="00E7754F">
      <w:r>
        <w:rPr>
          <w:b/>
        </w:rPr>
        <w:t>Looking for and sharing</w:t>
      </w:r>
      <w:r w:rsidRPr="00E7754F">
        <w:rPr>
          <w:b/>
        </w:rPr>
        <w:t xml:space="preserve"> good practice ideas</w:t>
      </w:r>
    </w:p>
    <w:p w:rsidR="00B9764D" w:rsidRPr="00E7754F" w:rsidRDefault="00B9764D" w:rsidP="00E7754F"/>
    <w:p w:rsidR="00B9764D" w:rsidRDefault="00B9764D" w:rsidP="00E7754F">
      <w:pPr>
        <w:pStyle w:val="ListParagraph"/>
        <w:numPr>
          <w:ilvl w:val="0"/>
          <w:numId w:val="20"/>
        </w:numPr>
      </w:pPr>
      <w:r>
        <w:t>For example via the LGBT JISCMAIL list that I coordinate [email John for details]</w:t>
      </w:r>
    </w:p>
    <w:p w:rsidR="00B9764D" w:rsidRPr="00E7754F" w:rsidRDefault="00B9764D" w:rsidP="00E7754F"/>
    <w:p w:rsidR="00B9764D" w:rsidRPr="00E7754F" w:rsidRDefault="00B9764D" w:rsidP="00E7754F">
      <w:pPr>
        <w:rPr>
          <w:b/>
        </w:rPr>
      </w:pPr>
      <w:r>
        <w:rPr>
          <w:b/>
        </w:rPr>
        <w:t>Mainstreaming</w:t>
      </w:r>
    </w:p>
    <w:p w:rsidR="00B9764D" w:rsidRPr="00E7754F" w:rsidRDefault="00B9764D" w:rsidP="00E7754F"/>
    <w:p w:rsidR="00B9764D" w:rsidRPr="00E7754F" w:rsidRDefault="00B9764D" w:rsidP="00E7754F">
      <w:r w:rsidRPr="00E7754F">
        <w:t>To develop something ongoing, we need to look at: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Management commitment: there need to be ‘champions’ who will help promote this work within and across the organisation (and who will lend support were anyone to object to the development of LGBT</w:t>
      </w:r>
      <w:r>
        <w:t>QI</w:t>
      </w:r>
      <w:r w:rsidRPr="00E7754F">
        <w:t xml:space="preserve"> provision)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Staff commitment: whilst an individual often has the passion to get a service/activity started, s/he will burn out unless other staff are also involved (and, as an ‘official’ service, there should be no excuse for the non-involvement of others)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A broad, cross-organisation approach (together with the local community)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Volunteers and community involvement, for example in running or co-running a LGBT</w:t>
      </w:r>
      <w:r>
        <w:t>QI</w:t>
      </w:r>
      <w:r w:rsidRPr="00E7754F">
        <w:t xml:space="preserve"> reading group 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Resources: for example to develop the service; promotion/advertising; running events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4"/>
        </w:numPr>
      </w:pPr>
      <w:r w:rsidRPr="00E7754F">
        <w:t>Policies: for example on buying, collecting; cataloguing and describing; on ensuring that LGBT</w:t>
      </w:r>
      <w:r>
        <w:t>QI</w:t>
      </w:r>
      <w:r w:rsidRPr="00E7754F">
        <w:t xml:space="preserve"> issues run through all the organisations policies and practices; a critical part of equality and diversity policies</w:t>
      </w:r>
    </w:p>
    <w:p w:rsidR="00B9764D" w:rsidRPr="00E7754F" w:rsidRDefault="00B9764D" w:rsidP="00E7754F"/>
    <w:p w:rsidR="00B9764D" w:rsidRDefault="00B9764D" w:rsidP="00E7754F">
      <w:pPr>
        <w:numPr>
          <w:ilvl w:val="0"/>
          <w:numId w:val="4"/>
        </w:numPr>
      </w:pPr>
      <w:r w:rsidRPr="00E7754F">
        <w:t>Co-production and sharing information</w:t>
      </w:r>
    </w:p>
    <w:p w:rsidR="00B9764D" w:rsidRDefault="00B9764D" w:rsidP="00E7754F">
      <w:pPr>
        <w:pStyle w:val="ListParagraph"/>
      </w:pPr>
    </w:p>
    <w:p w:rsidR="00B9764D" w:rsidRPr="00E7754F" w:rsidRDefault="00B9764D" w:rsidP="00E7754F">
      <w:pPr>
        <w:numPr>
          <w:ilvl w:val="0"/>
          <w:numId w:val="18"/>
        </w:numPr>
      </w:pPr>
      <w:r w:rsidRPr="00E7754F">
        <w:t>Museums can use the Accreditation Scheme to help raise standards and to ensure that they are being responsive to user needs and expectations.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>Into the mainstream</w:t>
      </w:r>
    </w:p>
    <w:p w:rsidR="00B9764D" w:rsidRPr="00E7754F" w:rsidRDefault="00B9764D" w:rsidP="00E7754F"/>
    <w:p w:rsidR="00B9764D" w:rsidRPr="00E7754F" w:rsidRDefault="00B9764D" w:rsidP="00E7754F">
      <w:r w:rsidRPr="00E7754F">
        <w:t>It is vital that the cultural sector not only celebrates events such as LGBT History Month and LGBT Pride, but also engages in programming LGBT</w:t>
      </w:r>
      <w:r>
        <w:t>QI</w:t>
      </w:r>
      <w:r w:rsidRPr="00E7754F">
        <w:t>-related activities throughout the year – and also weaves them into other activities (such as mainstream exhibitions or displays) and events (such as Black History Month), for example</w:t>
      </w:r>
      <w:r>
        <w:t>.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>Promoting the service and its resources</w:t>
      </w:r>
    </w:p>
    <w:p w:rsidR="00B9764D" w:rsidRDefault="00B9764D" w:rsidP="00E7754F"/>
    <w:p w:rsidR="00B9764D" w:rsidRDefault="00B9764D" w:rsidP="00AD5B86">
      <w:pPr>
        <w:pStyle w:val="ListParagraph"/>
        <w:numPr>
          <w:ilvl w:val="0"/>
          <w:numId w:val="21"/>
        </w:numPr>
      </w:pPr>
      <w:r>
        <w:t>Events, activities, talks, publicity, marketing, etc.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>Staffing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Staff need to be 100% confident in dealing with LGBT</w:t>
      </w:r>
      <w:r>
        <w:t>QI</w:t>
      </w:r>
      <w:r w:rsidRPr="00E7754F">
        <w:t xml:space="preserve"> visitors, staff, content – and any issues that may arise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Ensure that your organisation’s policies are positive and clear about welcoming LGBT</w:t>
      </w:r>
      <w:r>
        <w:t>QI</w:t>
      </w:r>
      <w:r w:rsidRPr="00E7754F">
        <w:t xml:space="preserve"> staff and service-users (and also about how any issues of homophobia or harassment will be dealt with)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Ensure that senior managers speak out about the importance of an inclusive workplace – and</w:t>
      </w:r>
      <w:r>
        <w:t xml:space="preserve"> that their actions mirror this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Recruitment: for example, does your organisation target any of its recruiting specifically towards LGBT</w:t>
      </w:r>
      <w:r>
        <w:t>QI</w:t>
      </w:r>
      <w:r w:rsidRPr="00E7754F">
        <w:t xml:space="preserve"> people? Are your recruitment practices positive (for example, towards someone who is transitioning)? 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>
        <w:t>Monitoring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Training and awareness-raising are vital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>
        <w:t>Mentoring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Working with/supporting workplace and Trade Union LGBT</w:t>
      </w:r>
      <w:r>
        <w:t>QI</w:t>
      </w:r>
      <w:r w:rsidRPr="00E7754F">
        <w:t xml:space="preserve"> groups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5"/>
        </w:numPr>
      </w:pPr>
      <w:r w:rsidRPr="00E7754F">
        <w:t>Professions’ approaches: does your professional body have a current set of policies about supporting LGBT</w:t>
      </w:r>
      <w:r>
        <w:t>QI</w:t>
      </w:r>
      <w:r w:rsidRPr="00E7754F">
        <w:t xml:space="preserve"> people? Does it have up-to-date information about the make-up of its members? What is its stance on supporting members over homophobia?</w:t>
      </w:r>
    </w:p>
    <w:p w:rsidR="00B9764D" w:rsidRPr="00E7754F" w:rsidRDefault="00B9764D" w:rsidP="00E7754F"/>
    <w:p w:rsidR="00B9764D" w:rsidRPr="00E7754F" w:rsidRDefault="00B9764D" w:rsidP="00E7754F">
      <w:r w:rsidRPr="00E7754F">
        <w:rPr>
          <w:b/>
        </w:rPr>
        <w:t xml:space="preserve">Benchmarking </w:t>
      </w:r>
    </w:p>
    <w:p w:rsidR="00B9764D" w:rsidRPr="00E7754F" w:rsidRDefault="00B9764D" w:rsidP="00E7754F"/>
    <w:p w:rsidR="00B9764D" w:rsidRPr="00E7754F" w:rsidRDefault="00B9764D" w:rsidP="00935F03">
      <w:pPr>
        <w:numPr>
          <w:ilvl w:val="0"/>
          <w:numId w:val="7"/>
        </w:numPr>
      </w:pPr>
      <w:r>
        <w:t>For example, p</w:t>
      </w:r>
      <w:r w:rsidRPr="00E7754F">
        <w:t>articipate in the Stonewall Diversity Champions programme</w:t>
      </w:r>
      <w:r>
        <w:t>.</w:t>
      </w:r>
    </w:p>
    <w:p w:rsidR="00B9764D" w:rsidRPr="00E7754F" w:rsidRDefault="00B9764D" w:rsidP="00E7754F"/>
    <w:p w:rsidR="00B9764D" w:rsidRPr="00E7754F" w:rsidRDefault="00B9764D" w:rsidP="00E7754F">
      <w:pPr>
        <w:rPr>
          <w:b/>
        </w:rPr>
      </w:pPr>
      <w:r w:rsidRPr="00E7754F">
        <w:rPr>
          <w:b/>
        </w:rPr>
        <w:t>Monitoring and evaluation</w:t>
      </w:r>
    </w:p>
    <w:p w:rsidR="00B9764D" w:rsidRPr="00E7754F" w:rsidRDefault="00B9764D" w:rsidP="00E7754F"/>
    <w:p w:rsidR="00B9764D" w:rsidRPr="00E7754F" w:rsidRDefault="00B9764D" w:rsidP="00E7754F">
      <w:r w:rsidRPr="00E7754F">
        <w:t>It is vital to evaluate this work, for example to:</w:t>
      </w:r>
    </w:p>
    <w:p w:rsidR="00B9764D" w:rsidRPr="00E7754F" w:rsidRDefault="00B9764D" w:rsidP="00E7754F"/>
    <w:p w:rsidR="00B9764D" w:rsidRPr="00E7754F" w:rsidRDefault="00B9764D" w:rsidP="00E7754F">
      <w:pPr>
        <w:numPr>
          <w:ilvl w:val="0"/>
          <w:numId w:val="7"/>
        </w:numPr>
      </w:pPr>
      <w:r w:rsidRPr="00E7754F">
        <w:t>Check if what we are doing is worthwhile and is working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Gathering learning which can lead to change – what lessons have we learned from this? What goes well? And less well?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Benchmarking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Evidence-gathering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Testing hypotheses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Gathering information to report to funders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Giving participants a voice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Gathering information and learning in order to develop advocacy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 xml:space="preserve">Gathering information which will feed into the political and economic contexts in which we work 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Build up a demonstrable model of practice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Share good practice</w:t>
      </w:r>
    </w:p>
    <w:p w:rsidR="00B9764D" w:rsidRPr="00E7754F" w:rsidRDefault="00B9764D" w:rsidP="00E7754F">
      <w:pPr>
        <w:numPr>
          <w:ilvl w:val="0"/>
          <w:numId w:val="11"/>
        </w:numPr>
      </w:pPr>
      <w:r w:rsidRPr="00E7754F">
        <w:t>Demonstrate impact.</w:t>
      </w:r>
    </w:p>
    <w:p w:rsidR="00B9764D" w:rsidRDefault="00B9764D" w:rsidP="00E7754F"/>
    <w:p w:rsidR="00B9764D" w:rsidRPr="00E7754F" w:rsidRDefault="00B9764D" w:rsidP="00E7754F">
      <w:bookmarkStart w:id="0" w:name="_GoBack"/>
      <w:bookmarkEnd w:id="0"/>
    </w:p>
    <w:p w:rsidR="00B9764D" w:rsidRDefault="00B9764D">
      <w:r>
        <w:t xml:space="preserve">Taken from: John Vincent </w:t>
      </w:r>
      <w:r>
        <w:rPr>
          <w:i/>
        </w:rPr>
        <w:t>LGBT people and the UK cultural sector</w:t>
      </w:r>
      <w:r>
        <w:t xml:space="preserve">. Ashgate, 2014.  </w:t>
      </w:r>
    </w:p>
    <w:p w:rsidR="00B9764D" w:rsidRDefault="00B9764D">
      <w:r>
        <w:t xml:space="preserve">Further information from </w:t>
      </w:r>
      <w:hyperlink r:id="rId7" w:history="1">
        <w:r w:rsidRPr="00223C5B">
          <w:rPr>
            <w:rStyle w:val="Hyperlink"/>
          </w:rPr>
          <w:t>john@nadder.org.uk</w:t>
        </w:r>
      </w:hyperlink>
      <w:r>
        <w:t xml:space="preserve">. </w:t>
      </w:r>
    </w:p>
    <w:sectPr w:rsidR="00B9764D" w:rsidSect="00065F52">
      <w:footerReference w:type="default" r:id="rId8"/>
      <w:pgSz w:w="11906" w:h="16838"/>
      <w:pgMar w:top="1134" w:right="102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4D" w:rsidRDefault="00B9764D" w:rsidP="00E7754F">
      <w:r>
        <w:separator/>
      </w:r>
    </w:p>
  </w:endnote>
  <w:endnote w:type="continuationSeparator" w:id="0">
    <w:p w:rsidR="00B9764D" w:rsidRDefault="00B9764D" w:rsidP="00E7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4D" w:rsidRDefault="00B9764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B9764D" w:rsidRDefault="00B97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4D" w:rsidRDefault="00B9764D" w:rsidP="00E7754F">
      <w:r>
        <w:separator/>
      </w:r>
    </w:p>
  </w:footnote>
  <w:footnote w:type="continuationSeparator" w:id="0">
    <w:p w:rsidR="00B9764D" w:rsidRDefault="00B9764D" w:rsidP="00E77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7F0"/>
    <w:multiLevelType w:val="hybridMultilevel"/>
    <w:tmpl w:val="06E4B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1035D"/>
    <w:multiLevelType w:val="hybridMultilevel"/>
    <w:tmpl w:val="4C1E7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B30B7"/>
    <w:multiLevelType w:val="hybridMultilevel"/>
    <w:tmpl w:val="18D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42A66"/>
    <w:multiLevelType w:val="hybridMultilevel"/>
    <w:tmpl w:val="880EF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36BB7"/>
    <w:multiLevelType w:val="hybridMultilevel"/>
    <w:tmpl w:val="3E6A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05F89"/>
    <w:multiLevelType w:val="hybridMultilevel"/>
    <w:tmpl w:val="9A6CA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D5BC5"/>
    <w:multiLevelType w:val="hybridMultilevel"/>
    <w:tmpl w:val="CC3E2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A2D18"/>
    <w:multiLevelType w:val="hybridMultilevel"/>
    <w:tmpl w:val="6D4E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E3170"/>
    <w:multiLevelType w:val="hybridMultilevel"/>
    <w:tmpl w:val="FE80F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72C57"/>
    <w:multiLevelType w:val="hybridMultilevel"/>
    <w:tmpl w:val="8E48D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3C717F"/>
    <w:multiLevelType w:val="hybridMultilevel"/>
    <w:tmpl w:val="C860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A0F20"/>
    <w:multiLevelType w:val="hybridMultilevel"/>
    <w:tmpl w:val="EE8C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B7F72"/>
    <w:multiLevelType w:val="hybridMultilevel"/>
    <w:tmpl w:val="5FF0E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834567"/>
    <w:multiLevelType w:val="hybridMultilevel"/>
    <w:tmpl w:val="8B6427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52276C"/>
    <w:multiLevelType w:val="hybridMultilevel"/>
    <w:tmpl w:val="42A8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D2081"/>
    <w:multiLevelType w:val="hybridMultilevel"/>
    <w:tmpl w:val="7EE6B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242C8"/>
    <w:multiLevelType w:val="hybridMultilevel"/>
    <w:tmpl w:val="79F07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00912"/>
    <w:multiLevelType w:val="hybridMultilevel"/>
    <w:tmpl w:val="607A9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F3CEC"/>
    <w:multiLevelType w:val="hybridMultilevel"/>
    <w:tmpl w:val="099AD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BE79AE"/>
    <w:multiLevelType w:val="hybridMultilevel"/>
    <w:tmpl w:val="9A2C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81458"/>
    <w:multiLevelType w:val="hybridMultilevel"/>
    <w:tmpl w:val="3C7248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0"/>
  </w:num>
  <w:num w:numId="6">
    <w:abstractNumId w:val="17"/>
  </w:num>
  <w:num w:numId="7">
    <w:abstractNumId w:val="8"/>
  </w:num>
  <w:num w:numId="8">
    <w:abstractNumId w:val="4"/>
  </w:num>
  <w:num w:numId="9">
    <w:abstractNumId w:val="9"/>
  </w:num>
  <w:num w:numId="10">
    <w:abstractNumId w:val="18"/>
  </w:num>
  <w:num w:numId="11">
    <w:abstractNumId w:val="15"/>
  </w:num>
  <w:num w:numId="12">
    <w:abstractNumId w:val="16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558"/>
    <w:rsid w:val="00065F52"/>
    <w:rsid w:val="00194558"/>
    <w:rsid w:val="001E573B"/>
    <w:rsid w:val="00223C5B"/>
    <w:rsid w:val="003E5678"/>
    <w:rsid w:val="00477113"/>
    <w:rsid w:val="005D5D0B"/>
    <w:rsid w:val="00821218"/>
    <w:rsid w:val="008512E9"/>
    <w:rsid w:val="00935F03"/>
    <w:rsid w:val="009B127A"/>
    <w:rsid w:val="00AD5B86"/>
    <w:rsid w:val="00B9764D"/>
    <w:rsid w:val="00C501A0"/>
    <w:rsid w:val="00C77716"/>
    <w:rsid w:val="00C815D0"/>
    <w:rsid w:val="00D559D0"/>
    <w:rsid w:val="00E56347"/>
    <w:rsid w:val="00E7754F"/>
    <w:rsid w:val="00F02B36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3B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775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754F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754F"/>
    <w:rPr>
      <w:rFonts w:ascii="Arial" w:hAnsi="Arial" w:cs="Times New Roman"/>
      <w:sz w:val="22"/>
      <w:vertAlign w:val="superscript"/>
    </w:rPr>
  </w:style>
  <w:style w:type="character" w:styleId="Hyperlink">
    <w:name w:val="Hyperlink"/>
    <w:basedOn w:val="DefaultParagraphFont"/>
    <w:uiPriority w:val="99"/>
    <w:rsid w:val="00E7754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77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D5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B86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AD5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B86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hn@nadd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772</Words>
  <Characters>4404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steps towards working with LGBTQI communities – or any</dc:title>
  <dc:subject/>
  <dc:creator>John Vincent</dc:creator>
  <cp:keywords/>
  <dc:description/>
  <cp:lastModifiedBy>Chrissy Partheni</cp:lastModifiedBy>
  <cp:revision>2</cp:revision>
  <dcterms:created xsi:type="dcterms:W3CDTF">2014-05-29T15:45:00Z</dcterms:created>
  <dcterms:modified xsi:type="dcterms:W3CDTF">2014-05-29T15:45:00Z</dcterms:modified>
</cp:coreProperties>
</file>